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CellMar>
          <w:top w:w="15" w:type="dxa"/>
          <w:left w:w="15" w:type="dxa"/>
          <w:bottom w:w="15" w:type="dxa"/>
          <w:right w:w="15" w:type="dxa"/>
        </w:tblCellMar>
        <w:tblLook w:val="0600"/>
      </w:tblPr>
      <w:tblGrid>
        <w:gridCol w:w="9360"/>
      </w:tblGrid>
      <w:tr w:rsidR="001849C9" w:rsidRPr="00BB370E" w:rsidTr="001849C9">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культуры «Библиотечная система» </w:t>
            </w:r>
          </w:p>
          <w:p w:rsidR="001849C9" w:rsidRPr="00BB370E" w:rsidRDefault="001849C9" w:rsidP="001849C9">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2334020850,  КПП 233401001,  ОКПО 98807450</w:t>
            </w:r>
          </w:p>
        </w:tc>
      </w:tr>
      <w:tr w:rsidR="001849C9" w:rsidTr="001849C9">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1849C9" w:rsidRPr="00E80006" w:rsidRDefault="001849C9" w:rsidP="001849C9">
            <w:pPr>
              <w:ind w:left="75" w:right="75"/>
              <w:jc w:val="center"/>
              <w:rPr>
                <w:rFonts w:hAnsi="Times New Roman" w:cs="Times New Roman"/>
                <w:color w:val="000000"/>
                <w:sz w:val="16"/>
                <w:szCs w:val="16"/>
              </w:rPr>
            </w:pPr>
            <w:proofErr w:type="spellStart"/>
            <w:r w:rsidRPr="00E80006">
              <w:rPr>
                <w:rFonts w:hAnsi="Times New Roman" w:cs="Times New Roman"/>
                <w:color w:val="000000"/>
                <w:sz w:val="16"/>
                <w:szCs w:val="16"/>
              </w:rPr>
              <w:t>полное</w:t>
            </w:r>
            <w:proofErr w:type="spellEnd"/>
            <w:r w:rsidRPr="00E80006">
              <w:rPr>
                <w:rFonts w:hAnsi="Times New Roman" w:cs="Times New Roman"/>
                <w:color w:val="000000"/>
                <w:sz w:val="16"/>
                <w:szCs w:val="16"/>
              </w:rPr>
              <w:t xml:space="preserve"> </w:t>
            </w:r>
            <w:proofErr w:type="spellStart"/>
            <w:r w:rsidRPr="00E80006">
              <w:rPr>
                <w:rFonts w:hAnsi="Times New Roman" w:cs="Times New Roman"/>
                <w:color w:val="000000"/>
                <w:sz w:val="16"/>
                <w:szCs w:val="16"/>
              </w:rPr>
              <w:t>наименование</w:t>
            </w:r>
            <w:proofErr w:type="spellEnd"/>
            <w:r w:rsidRPr="00E80006">
              <w:rPr>
                <w:rFonts w:hAnsi="Times New Roman" w:cs="Times New Roman"/>
                <w:color w:val="000000"/>
                <w:sz w:val="16"/>
                <w:szCs w:val="16"/>
              </w:rPr>
              <w:t xml:space="preserve"> </w:t>
            </w:r>
            <w:proofErr w:type="spellStart"/>
            <w:r w:rsidRPr="00E80006">
              <w:rPr>
                <w:rFonts w:hAnsi="Times New Roman" w:cs="Times New Roman"/>
                <w:color w:val="000000"/>
                <w:sz w:val="16"/>
                <w:szCs w:val="16"/>
              </w:rPr>
              <w:t>учреждения</w:t>
            </w:r>
            <w:proofErr w:type="spellEnd"/>
          </w:p>
        </w:tc>
      </w:tr>
      <w:tr w:rsidR="001849C9" w:rsidTr="001849C9">
        <w:tc>
          <w:tcPr>
            <w:tcW w:w="11420"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r>
    </w:tbl>
    <w:p w:rsidR="001849C9" w:rsidRDefault="001849C9" w:rsidP="001849C9">
      <w:pPr>
        <w:jc w:val="center"/>
        <w:rPr>
          <w:rFonts w:hAnsi="Times New Roman" w:cs="Times New Roman"/>
          <w:color w:val="000000"/>
          <w:sz w:val="24"/>
          <w:szCs w:val="24"/>
        </w:rPr>
      </w:pPr>
    </w:p>
    <w:p w:rsidR="001849C9" w:rsidRDefault="001849C9" w:rsidP="001849C9">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44</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1849C9" w:rsidRDefault="001849C9" w:rsidP="001849C9">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30 декабря 2020г</w:t>
      </w:r>
    </w:p>
    <w:p w:rsidR="001849C9" w:rsidRPr="00E80006" w:rsidRDefault="001849C9" w:rsidP="001849C9">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637"/>
        <w:gridCol w:w="4540"/>
      </w:tblGrid>
      <w:tr w:rsidR="001849C9" w:rsidRPr="00BB370E" w:rsidTr="001849C9">
        <w:tc>
          <w:tcPr>
            <w:tcW w:w="0" w:type="auto"/>
            <w:tcMar>
              <w:top w:w="75" w:type="dxa"/>
              <w:left w:w="75" w:type="dxa"/>
              <w:bottom w:w="75" w:type="dxa"/>
              <w:right w:w="75" w:type="dxa"/>
            </w:tcMar>
          </w:tcPr>
          <w:p w:rsidR="001849C9" w:rsidRPr="00E80006" w:rsidRDefault="001849C9" w:rsidP="001849C9">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1849C9" w:rsidRPr="00E80006" w:rsidRDefault="001849C9" w:rsidP="001849C9">
            <w:pPr>
              <w:ind w:left="75" w:right="75"/>
              <w:rPr>
                <w:rFonts w:hAnsi="Times New Roman" w:cs="Times New Roman"/>
                <w:color w:val="000000"/>
                <w:sz w:val="24"/>
                <w:szCs w:val="24"/>
                <w:lang w:val="ru-RU"/>
              </w:rPr>
            </w:pPr>
          </w:p>
        </w:tc>
      </w:tr>
      <w:tr w:rsidR="001849C9" w:rsidRPr="00BB370E" w:rsidTr="001849C9">
        <w:tc>
          <w:tcPr>
            <w:tcW w:w="4805" w:type="dxa"/>
            <w:tcMar>
              <w:top w:w="75" w:type="dxa"/>
              <w:left w:w="75" w:type="dxa"/>
              <w:bottom w:w="75" w:type="dxa"/>
              <w:right w:w="75" w:type="dxa"/>
            </w:tcMar>
            <w:vAlign w:val="center"/>
          </w:tcPr>
          <w:p w:rsidR="001849C9" w:rsidRPr="00E80006" w:rsidRDefault="001849C9" w:rsidP="001849C9">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1849C9" w:rsidRPr="00E80006" w:rsidRDefault="001849C9" w:rsidP="001849C9">
            <w:pPr>
              <w:ind w:left="75" w:right="75"/>
              <w:rPr>
                <w:rFonts w:hAnsi="Times New Roman" w:cs="Times New Roman"/>
                <w:color w:val="000000"/>
                <w:sz w:val="24"/>
                <w:szCs w:val="24"/>
                <w:lang w:val="ru-RU"/>
              </w:rPr>
            </w:pPr>
          </w:p>
        </w:tc>
      </w:tr>
    </w:tbl>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2021г</w:t>
      </w:r>
      <w:r w:rsidRPr="00E80006">
        <w:rPr>
          <w:rFonts w:hAnsi="Times New Roman" w:cs="Times New Roman"/>
          <w:color w:val="000000"/>
          <w:sz w:val="24"/>
          <w:szCs w:val="24"/>
          <w:lang w:val="ru-RU"/>
        </w:rPr>
        <w:t>.</w:t>
      </w: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proofErr w:type="gramStart"/>
      <w:r w:rsidRPr="00E80006">
        <w:rPr>
          <w:rFonts w:hAnsi="Times New Roman" w:cs="Times New Roman"/>
          <w:color w:val="000000"/>
          <w:sz w:val="24"/>
          <w:szCs w:val="24"/>
          <w:lang w:val="ru-RU"/>
        </w:rPr>
        <w:t xml:space="preserve"> .</w:t>
      </w:r>
      <w:proofErr w:type="gramEnd"/>
    </w:p>
    <w:p w:rsidR="001849C9" w:rsidRPr="00E80006" w:rsidRDefault="001849C9" w:rsidP="001849C9">
      <w:pPr>
        <w:rPr>
          <w:rFonts w:hAnsi="Times New Roman" w:cs="Times New Roman"/>
          <w:color w:val="000000"/>
          <w:sz w:val="24"/>
          <w:szCs w:val="24"/>
          <w:lang w:val="ru-RU"/>
        </w:rPr>
      </w:pPr>
    </w:p>
    <w:p w:rsidR="001849C9" w:rsidRPr="00E80006" w:rsidRDefault="001849C9" w:rsidP="001849C9">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780"/>
        <w:gridCol w:w="160"/>
        <w:gridCol w:w="312"/>
        <w:gridCol w:w="1895"/>
        <w:gridCol w:w="353"/>
        <w:gridCol w:w="2677"/>
      </w:tblGrid>
      <w:tr w:rsidR="001849C9" w:rsidTr="001849C9">
        <w:tc>
          <w:tcPr>
            <w:tcW w:w="0" w:type="auto"/>
            <w:gridSpan w:val="2"/>
            <w:tcMar>
              <w:top w:w="75" w:type="dxa"/>
              <w:left w:w="75" w:type="dxa"/>
              <w:bottom w:w="75" w:type="dxa"/>
              <w:right w:w="75" w:type="dxa"/>
            </w:tcMar>
            <w:vAlign w:val="bottom"/>
          </w:tcPr>
          <w:p w:rsidR="001849C9" w:rsidRPr="00BB370E" w:rsidRDefault="001849C9" w:rsidP="001849C9">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Mar>
              <w:top w:w="75" w:type="dxa"/>
              <w:left w:w="75" w:type="dxa"/>
              <w:bottom w:w="75" w:type="dxa"/>
              <w:right w:w="75" w:type="dxa"/>
            </w:tcMar>
          </w:tcPr>
          <w:p w:rsidR="001849C9" w:rsidRDefault="001849C9" w:rsidP="001849C9">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1849C9" w:rsidRPr="00BB370E" w:rsidRDefault="001849C9" w:rsidP="001849C9">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Е.А.Алексеенко</w:t>
            </w:r>
            <w:proofErr w:type="spellEnd"/>
          </w:p>
        </w:tc>
      </w:tr>
      <w:tr w:rsidR="001849C9" w:rsidTr="001849C9">
        <w:tc>
          <w:tcPr>
            <w:tcW w:w="3940" w:type="dxa"/>
            <w:gridSpan w:val="2"/>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312"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1895"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353"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c>
          <w:tcPr>
            <w:tcW w:w="2677" w:type="dxa"/>
            <w:tcMar>
              <w:top w:w="75" w:type="dxa"/>
              <w:left w:w="75" w:type="dxa"/>
              <w:bottom w:w="75" w:type="dxa"/>
              <w:right w:w="75" w:type="dxa"/>
            </w:tcMar>
            <w:vAlign w:val="center"/>
          </w:tcPr>
          <w:p w:rsidR="001849C9" w:rsidRDefault="001849C9" w:rsidP="001849C9">
            <w:pPr>
              <w:ind w:left="75" w:right="75"/>
              <w:rPr>
                <w:rFonts w:hAnsi="Times New Roman" w:cs="Times New Roman"/>
                <w:color w:val="000000"/>
                <w:sz w:val="24"/>
                <w:szCs w:val="24"/>
              </w:rPr>
            </w:pPr>
          </w:p>
        </w:tc>
      </w:tr>
      <w:tr w:rsidR="00477A7A" w:rsidTr="001849C9">
        <w:trPr>
          <w:gridAfter w:val="5"/>
          <w:wAfter w:w="5397" w:type="dxa"/>
        </w:trPr>
        <w:tc>
          <w:tcPr>
            <w:tcW w:w="3780" w:type="dxa"/>
            <w:tcMar>
              <w:top w:w="75" w:type="dxa"/>
              <w:left w:w="75" w:type="dxa"/>
              <w:bottom w:w="75" w:type="dxa"/>
              <w:right w:w="75" w:type="dxa"/>
            </w:tcMar>
          </w:tcPr>
          <w:p w:rsidR="001849C9" w:rsidRDefault="001849C9">
            <w:pPr>
              <w:rPr>
                <w:rFonts w:hAnsi="Times New Roman" w:cs="Times New Roman"/>
                <w:color w:val="000000"/>
                <w:sz w:val="24"/>
                <w:szCs w:val="24"/>
                <w:lang w:val="ru-RU"/>
              </w:rPr>
            </w:pPr>
          </w:p>
          <w:p w:rsidR="00477A7A" w:rsidRDefault="001849C9" w:rsidP="001849C9">
            <w:r>
              <w:rPr>
                <w:rFonts w:hAnsi="Times New Roman" w:cs="Times New Roman"/>
                <w:color w:val="000000"/>
                <w:sz w:val="24"/>
                <w:szCs w:val="24"/>
                <w:lang w:val="ru-RU"/>
              </w:rPr>
              <w:t xml:space="preserve">                                                                 </w:t>
            </w:r>
          </w:p>
        </w:tc>
      </w:tr>
    </w:tbl>
    <w:p w:rsidR="00477A7A" w:rsidRPr="001849C9" w:rsidRDefault="001849C9" w:rsidP="001849C9">
      <w:pPr>
        <w:rPr>
          <w:lang w:val="ru-RU"/>
        </w:rPr>
      </w:pPr>
      <w:r>
        <w:rPr>
          <w:lang w:val="ru-RU"/>
        </w:rPr>
        <w:t xml:space="preserve">                                                               Приложение к приказу №44 от 30.12.2020г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культуры</w:t>
      </w:r>
      <w:r w:rsidRPr="001849C9">
        <w:rPr>
          <w:rFonts w:hAnsi="Times New Roman" w:cs="Times New Roman"/>
          <w:color w:val="000000"/>
          <w:sz w:val="24"/>
          <w:szCs w:val="24"/>
          <w:lang w:val="ru-RU"/>
        </w:rPr>
        <w:t xml:space="preserve"> «</w:t>
      </w:r>
      <w:r w:rsidR="00957EE7">
        <w:rPr>
          <w:rFonts w:hAnsi="Times New Roman" w:cs="Times New Roman"/>
          <w:color w:val="000000"/>
          <w:sz w:val="24"/>
          <w:szCs w:val="24"/>
          <w:lang w:val="ru-RU"/>
        </w:rPr>
        <w:t>Библиотечная система»</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Единому плану счетов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приказом Минфина от 29.11.2017 № 209н «Об утверждении </w:t>
      </w:r>
      <w:proofErr w:type="gramStart"/>
      <w:r w:rsidRPr="001849C9">
        <w:rPr>
          <w:rFonts w:hAnsi="Times New Roman" w:cs="Times New Roman"/>
          <w:color w:val="000000"/>
          <w:sz w:val="24"/>
          <w:szCs w:val="24"/>
          <w:lang w:val="ru-RU"/>
        </w:rPr>
        <w:t>Порядка применения классификации операций сектора государственного</w:t>
      </w:r>
      <w:proofErr w:type="gramEnd"/>
      <w:r w:rsidRPr="001849C9">
        <w:rPr>
          <w:rFonts w:hAnsi="Times New Roman" w:cs="Times New Roman"/>
          <w:color w:val="000000"/>
          <w:sz w:val="24"/>
          <w:szCs w:val="24"/>
          <w:lang w:val="ru-RU"/>
        </w:rPr>
        <w:t xml:space="preserve">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477A7A" w:rsidRPr="001849C9" w:rsidRDefault="001849C9">
      <w:pPr>
        <w:numPr>
          <w:ilvl w:val="0"/>
          <w:numId w:val="1"/>
        </w:numPr>
        <w:ind w:left="780" w:right="180"/>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w:t>
      </w:r>
      <w:proofErr w:type="gramEnd"/>
      <w:r w:rsidRPr="001849C9">
        <w:rPr>
          <w:rFonts w:hAnsi="Times New Roman" w:cs="Times New Roman"/>
          <w:color w:val="000000"/>
          <w:sz w:val="24"/>
          <w:szCs w:val="24"/>
          <w:lang w:val="ru-RU"/>
        </w:rPr>
        <w:t xml:space="preserve"> </w:t>
      </w:r>
      <w:proofErr w:type="gramStart"/>
      <w:r w:rsidRPr="001849C9">
        <w:rPr>
          <w:rFonts w:hAnsi="Times New Roman" w:cs="Times New Roman"/>
          <w:color w:val="000000"/>
          <w:sz w:val="24"/>
          <w:szCs w:val="24"/>
          <w:lang w:val="ru-RU"/>
        </w:rPr>
        <w:t>связанных сторонах», СГС «Отчет о движении денежных средств»), от 27.02.2018 № 32н (далее – СГС «Доходы»), от 28.02.2018 № 34н (далее – СГС «</w:t>
      </w:r>
      <w:proofErr w:type="spellStart"/>
      <w:r w:rsidRPr="001849C9">
        <w:rPr>
          <w:rFonts w:hAnsi="Times New Roman" w:cs="Times New Roman"/>
          <w:color w:val="000000"/>
          <w:sz w:val="24"/>
          <w:szCs w:val="24"/>
          <w:lang w:val="ru-RU"/>
        </w:rPr>
        <w:t>Непроизведенные</w:t>
      </w:r>
      <w:proofErr w:type="spellEnd"/>
      <w:r w:rsidRPr="001849C9">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 СГС</w:t>
      </w:r>
      <w:proofErr w:type="gramEnd"/>
      <w:r w:rsidRPr="001849C9">
        <w:rPr>
          <w:rFonts w:hAnsi="Times New Roman" w:cs="Times New Roman"/>
          <w:color w:val="000000"/>
          <w:sz w:val="24"/>
          <w:szCs w:val="24"/>
          <w:lang w:val="ru-RU"/>
        </w:rPr>
        <w:t xml:space="preserve"> «</w:t>
      </w:r>
      <w:proofErr w:type="gramStart"/>
      <w:r w:rsidRPr="001849C9">
        <w:rPr>
          <w:rFonts w:hAnsi="Times New Roman" w:cs="Times New Roman"/>
          <w:color w:val="000000"/>
          <w:sz w:val="24"/>
          <w:szCs w:val="24"/>
          <w:lang w:val="ru-RU"/>
        </w:rPr>
        <w:t xml:space="preserve">Затраты по заимствованиям», СГС </w:t>
      </w:r>
      <w:r w:rsidRPr="001849C9">
        <w:rPr>
          <w:rFonts w:hAnsi="Times New Roman" w:cs="Times New Roman"/>
          <w:color w:val="000000"/>
          <w:sz w:val="24"/>
          <w:szCs w:val="24"/>
          <w:lang w:val="ru-RU"/>
        </w:rPr>
        <w:lastRenderedPageBreak/>
        <w:t>«Совместная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proofErr w:type="gramEnd"/>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477A7A" w:rsidRDefault="00477A7A">
      <w:pPr>
        <w:rPr>
          <w:rFonts w:hAnsi="Times New Roman" w:cs="Times New Roman"/>
          <w:color w:val="000000"/>
          <w:sz w:val="24"/>
          <w:szCs w:val="24"/>
        </w:rPr>
      </w:pPr>
    </w:p>
    <w:p w:rsidR="00477A7A" w:rsidRDefault="001849C9">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 xml:space="preserve">Расшифровка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Государственное бюджетное учреждение «Альфа»</w:t>
            </w:r>
          </w:p>
        </w:tc>
      </w:tr>
      <w:tr w:rsidR="00477A7A" w:rsidRPr="00A848A0">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A848A0">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proofErr w:type="gramStart"/>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w:t>
      </w:r>
      <w:proofErr w:type="gramEnd"/>
      <w:r w:rsidRPr="001849C9">
        <w:rPr>
          <w:rFonts w:hAnsi="Times New Roman" w:cs="Times New Roman"/>
          <w:b/>
          <w:bCs/>
          <w:color w:val="000000"/>
          <w:sz w:val="24"/>
          <w:szCs w:val="24"/>
          <w:lang w:val="ru-RU"/>
        </w:rPr>
        <w:t xml:space="preserve">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w:t>
      </w:r>
      <w:proofErr w:type="gramStart"/>
      <w:r w:rsidRPr="00450CE4">
        <w:rPr>
          <w:rFonts w:ascii="Times New Roman" w:hAnsi="Times New Roman" w:cs="Times New Roman"/>
          <w:sz w:val="24"/>
          <w:szCs w:val="24"/>
          <w:lang w:val="ru-RU"/>
        </w:rPr>
        <w:t xml:space="preserve">( </w:t>
      </w:r>
      <w:proofErr w:type="gramEnd"/>
      <w:r w:rsidRPr="00450CE4">
        <w:rPr>
          <w:rFonts w:ascii="Times New Roman" w:hAnsi="Times New Roman" w:cs="Times New Roman"/>
          <w:sz w:val="24"/>
          <w:szCs w:val="24"/>
          <w:lang w:val="ru-RU"/>
        </w:rPr>
        <w:t xml:space="preserve">об юридическом обслуживании учреждения № 1 от </w:t>
      </w:r>
      <w:r>
        <w:rPr>
          <w:rFonts w:ascii="Times New Roman" w:hAnsi="Times New Roman" w:cs="Times New Roman"/>
          <w:sz w:val="24"/>
          <w:szCs w:val="24"/>
          <w:lang w:val="ru-RU"/>
        </w:rPr>
        <w:t>30</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20</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Pr>
          <w:rFonts w:ascii="Times New Roman" w:hAnsi="Times New Roman" w:cs="Times New Roman"/>
          <w:sz w:val="24"/>
          <w:szCs w:val="24"/>
          <w:lang w:val="ru-RU"/>
        </w:rPr>
        <w:t>30.12.2020</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6067F7">
        <w:rPr>
          <w:rFonts w:hAnsi="Times New Roman" w:cs="Times New Roman"/>
          <w:b/>
          <w:color w:val="000000"/>
          <w:sz w:val="24"/>
          <w:szCs w:val="24"/>
        </w:rPr>
        <w:t>(</w:t>
      </w:r>
      <w:proofErr w:type="spellStart"/>
      <w:r w:rsidRPr="006067F7">
        <w:rPr>
          <w:rFonts w:hAnsi="Times New Roman" w:cs="Times New Roman"/>
          <w:b/>
          <w:color w:val="000000"/>
          <w:sz w:val="24"/>
          <w:szCs w:val="24"/>
        </w:rPr>
        <w:t>приложение</w:t>
      </w:r>
      <w:proofErr w:type="spellEnd"/>
      <w:r w:rsidRPr="006067F7">
        <w:rPr>
          <w:rFonts w:hAnsi="Times New Roman" w:cs="Times New Roman"/>
          <w:b/>
          <w:color w:val="000000"/>
          <w:sz w:val="24"/>
          <w:szCs w:val="24"/>
        </w:rPr>
        <w:t xml:space="preserve">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Учреждение публикует основные положения учетной политики на своем официальном сайте путем размещения копий документов учетной политики</w:t>
      </w:r>
      <w:proofErr w:type="gramStart"/>
      <w:r w:rsidR="007B56B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w:t>
      </w:r>
      <w:proofErr w:type="gramEnd"/>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xml:space="preserve">. </w:t>
      </w:r>
      <w:proofErr w:type="gramStart"/>
      <w:r w:rsidRPr="001849C9">
        <w:rPr>
          <w:rFonts w:hAnsi="Times New Roman" w:cs="Times New Roman"/>
          <w:b/>
          <w:bCs/>
          <w:color w:val="000000"/>
          <w:sz w:val="24"/>
          <w:szCs w:val="24"/>
          <w:lang w:val="ru-RU"/>
        </w:rPr>
        <w:t>Технология  обработки</w:t>
      </w:r>
      <w:proofErr w:type="gramEnd"/>
      <w:r w:rsidRPr="001849C9">
        <w:rPr>
          <w:rFonts w:hAnsi="Times New Roman" w:cs="Times New Roman"/>
          <w:b/>
          <w:bCs/>
          <w:color w:val="000000"/>
          <w:sz w:val="24"/>
          <w:szCs w:val="24"/>
          <w:lang w:val="ru-RU"/>
        </w:rPr>
        <w:t xml:space="preserve">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 контур </w:t>
      </w:r>
      <w:proofErr w:type="spellStart"/>
      <w:r>
        <w:rPr>
          <w:rFonts w:hAnsi="Times New Roman" w:cs="Times New Roman"/>
          <w:color w:val="000000"/>
          <w:sz w:val="24"/>
          <w:szCs w:val="24"/>
          <w:lang w:val="ru-RU"/>
        </w:rPr>
        <w:t>Диодок</w:t>
      </w:r>
      <w:proofErr w:type="spellEnd"/>
      <w:r>
        <w:rPr>
          <w:rFonts w:hAnsi="Times New Roman" w:cs="Times New Roman"/>
          <w:color w:val="000000"/>
          <w:sz w:val="24"/>
          <w:szCs w:val="24"/>
          <w:lang w:val="ru-RU"/>
        </w:rPr>
        <w:t>;</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1849C9">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849C9">
        <w:rPr>
          <w:rFonts w:hAnsi="Times New Roman" w:cs="Times New Roman"/>
          <w:color w:val="000000"/>
          <w:sz w:val="24"/>
          <w:szCs w:val="24"/>
          <w:lang w:val="ru-RU"/>
        </w:rPr>
        <w:t>;</w:t>
      </w: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w:t>
      </w:r>
      <w:proofErr w:type="gramStart"/>
      <w:r w:rsidRPr="001849C9">
        <w:rPr>
          <w:rFonts w:hAnsi="Times New Roman" w:cs="Times New Roman"/>
          <w:color w:val="000000"/>
          <w:sz w:val="24"/>
          <w:szCs w:val="24"/>
          <w:lang w:val="ru-RU"/>
        </w:rPr>
        <w:t>Зарплата</w:t>
      </w:r>
      <w:r w:rsidR="007B56B9">
        <w:rPr>
          <w:rFonts w:hAnsi="Times New Roman" w:cs="Times New Roman"/>
          <w:color w:val="000000"/>
          <w:sz w:val="24"/>
          <w:szCs w:val="24"/>
          <w:lang w:val="ru-RU"/>
        </w:rPr>
        <w:t>-кадры</w:t>
      </w:r>
      <w:proofErr w:type="gramEnd"/>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7B56B9" w:rsidRDefault="007B56B9">
      <w:pPr>
        <w:jc w:val="center"/>
        <w:rPr>
          <w:rFonts w:hAnsi="Times New Roman" w:cs="Times New Roman"/>
          <w:b/>
          <w:bCs/>
          <w:color w:val="000000"/>
          <w:sz w:val="24"/>
          <w:szCs w:val="24"/>
          <w:lang w:val="ru-RU"/>
        </w:rPr>
      </w:pPr>
    </w:p>
    <w:p w:rsidR="007B56B9" w:rsidRDefault="007B56B9">
      <w:pPr>
        <w:jc w:val="center"/>
        <w:rPr>
          <w:rFonts w:hAnsi="Times New Roman" w:cs="Times New Roman"/>
          <w:b/>
          <w:bCs/>
          <w:color w:val="000000"/>
          <w:sz w:val="24"/>
          <w:szCs w:val="24"/>
          <w:lang w:val="ru-RU"/>
        </w:rPr>
      </w:pPr>
    </w:p>
    <w:p w:rsidR="00477A7A" w:rsidRDefault="001849C9">
      <w:pPr>
        <w:jc w:val="center"/>
        <w:rPr>
          <w:rFonts w:hAnsi="Times New Roman" w:cs="Times New Roman"/>
          <w:b/>
          <w:bCs/>
          <w:color w:val="000000"/>
          <w:sz w:val="24"/>
          <w:szCs w:val="24"/>
          <w:lang w:val="ru-RU"/>
        </w:rPr>
      </w:pPr>
      <w:r>
        <w:rPr>
          <w:rFonts w:hAnsi="Times New Roman" w:cs="Times New Roman"/>
          <w:b/>
          <w:bCs/>
          <w:color w:val="000000"/>
          <w:sz w:val="24"/>
          <w:szCs w:val="24"/>
        </w:rPr>
        <w:lastRenderedPageBreak/>
        <w:t>III</w:t>
      </w:r>
      <w:r w:rsidRPr="001849C9">
        <w:rPr>
          <w:rFonts w:hAnsi="Times New Roman" w:cs="Times New Roman"/>
          <w:b/>
          <w:bCs/>
          <w:color w:val="000000"/>
          <w:sz w:val="24"/>
          <w:szCs w:val="24"/>
          <w:lang w:val="ru-RU"/>
        </w:rPr>
        <w:t>. Правила документооборота</w:t>
      </w:r>
    </w:p>
    <w:p w:rsidR="00A848A0" w:rsidRPr="001849C9" w:rsidRDefault="00A848A0">
      <w:pPr>
        <w:jc w:val="cente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1849C9">
        <w:rPr>
          <w:rFonts w:hAnsi="Times New Roman" w:cs="Times New Roman"/>
          <w:color w:val="000000"/>
          <w:sz w:val="24"/>
          <w:szCs w:val="24"/>
          <w:lang w:val="ru-RU"/>
        </w:rPr>
        <w:t>д</w:t>
      </w:r>
      <w:proofErr w:type="spellEnd"/>
      <w:r w:rsidRPr="001849C9">
        <w:rPr>
          <w:rFonts w:hAnsi="Times New Roman" w:cs="Times New Roman"/>
          <w:color w:val="000000"/>
          <w:sz w:val="24"/>
          <w:szCs w:val="24"/>
          <w:lang w:val="ru-RU"/>
        </w:rPr>
        <w:t>»</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  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lastRenderedPageBreak/>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МБУК </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БС</w:t>
      </w:r>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.1. При приобретении и реализации основных средств, нематериальных и </w:t>
      </w:r>
      <w:proofErr w:type="spellStart"/>
      <w:r w:rsidR="001849C9" w:rsidRPr="001849C9">
        <w:rPr>
          <w:rFonts w:hAnsi="Times New Roman" w:cs="Times New Roman"/>
          <w:color w:val="000000"/>
          <w:sz w:val="24"/>
          <w:szCs w:val="24"/>
          <w:lang w:val="ru-RU"/>
        </w:rPr>
        <w:t>непроизведенных</w:t>
      </w:r>
      <w:proofErr w:type="spellEnd"/>
      <w:r w:rsidR="001849C9" w:rsidRPr="001849C9">
        <w:rPr>
          <w:rFonts w:hAnsi="Times New Roman" w:cs="Times New Roman"/>
          <w:color w:val="000000"/>
          <w:sz w:val="24"/>
          <w:szCs w:val="24"/>
          <w:lang w:val="ru-RU"/>
        </w:rPr>
        <w:t xml:space="preserve">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tblPr>
      <w:tblGrid>
        <w:gridCol w:w="7097"/>
        <w:gridCol w:w="1708"/>
      </w:tblGrid>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lastRenderedPageBreak/>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b/>
                <w:bCs/>
                <w:color w:val="000000"/>
                <w:sz w:val="24"/>
                <w:szCs w:val="24"/>
              </w:rPr>
              <w:t>Код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Дополнительные выходные дни (оплачиваемые)</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Заключение под стражу</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proofErr w:type="gramStart"/>
      <w:r w:rsidR="001849C9" w:rsidRPr="001849C9">
        <w:rPr>
          <w:rFonts w:hAnsi="Times New Roman" w:cs="Times New Roman"/>
          <w:color w:val="000000"/>
          <w:sz w:val="24"/>
          <w:szCs w:val="24"/>
          <w:lang w:val="ru-RU"/>
        </w:rPr>
        <w:t>скан-копий</w:t>
      </w:r>
      <w:proofErr w:type="spellEnd"/>
      <w:proofErr w:type="gramEnd"/>
      <w:r w:rsidR="001849C9"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proofErr w:type="gramStart"/>
      <w:r w:rsidRPr="001849C9">
        <w:rPr>
          <w:rFonts w:hAnsi="Times New Roman" w:cs="Times New Roman"/>
          <w:color w:val="000000"/>
          <w:sz w:val="24"/>
          <w:szCs w:val="24"/>
          <w:lang w:val="ru-RU"/>
        </w:rPr>
        <w:t>скан-копией</w:t>
      </w:r>
      <w:proofErr w:type="spellEnd"/>
      <w:proofErr w:type="gramEnd"/>
      <w:r w:rsidRPr="001849C9">
        <w:rPr>
          <w:rFonts w:hAnsi="Times New Roman" w:cs="Times New Roman"/>
          <w:color w:val="000000"/>
          <w:sz w:val="24"/>
          <w:szCs w:val="24"/>
          <w:lang w:val="ru-RU"/>
        </w:rPr>
        <w:t xml:space="preserve">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proofErr w:type="gramStart"/>
      <w:r w:rsidRPr="001849C9">
        <w:rPr>
          <w:rFonts w:hAnsi="Times New Roman" w:cs="Times New Roman"/>
          <w:color w:val="000000"/>
          <w:sz w:val="24"/>
          <w:szCs w:val="24"/>
          <w:lang w:val="ru-RU"/>
        </w:rPr>
        <w:t>скан-копий</w:t>
      </w:r>
      <w:proofErr w:type="spellEnd"/>
      <w:proofErr w:type="gramEnd"/>
      <w:r w:rsidRPr="001849C9">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b/>
                <w:bCs/>
                <w:color w:val="000000"/>
                <w:sz w:val="24"/>
                <w:szCs w:val="24"/>
              </w:rPr>
              <w:t>Код</w:t>
            </w:r>
          </w:p>
        </w:tc>
      </w:tr>
      <w:tr w:rsidR="00477A7A" w:rsidRPr="00A848A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3C20A9" w:rsidP="003C20A9">
            <w:pPr>
              <w:rPr>
                <w:rFonts w:hAnsi="Times New Roman" w:cs="Times New Roman"/>
                <w:color w:val="000000"/>
                <w:sz w:val="24"/>
                <w:szCs w:val="24"/>
                <w:lang w:val="ru-RU"/>
              </w:rPr>
            </w:pPr>
            <w:r>
              <w:rPr>
                <w:lang w:val="ru-RU"/>
              </w:rPr>
              <w:t>0801</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«КУЛЬТУРА</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477A7A" w:rsidRPr="00A848A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аналитической группе </w:t>
            </w:r>
            <w:proofErr w:type="gramStart"/>
            <w:r w:rsidRPr="001849C9">
              <w:rPr>
                <w:rFonts w:hAnsi="Times New Roman" w:cs="Times New Roman"/>
                <w:color w:val="000000"/>
                <w:sz w:val="24"/>
                <w:szCs w:val="24"/>
                <w:lang w:val="ru-RU"/>
              </w:rPr>
              <w:t>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roofErr w:type="gramEnd"/>
          </w:p>
        </w:tc>
      </w:tr>
      <w:tr w:rsidR="00477A7A" w:rsidRPr="00A848A0">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1849C9">
        <w:rPr>
          <w:rFonts w:hAnsi="Times New Roman" w:cs="Times New Roman"/>
          <w:color w:val="000000"/>
          <w:sz w:val="24"/>
          <w:szCs w:val="24"/>
          <w:lang w:val="ru-RU"/>
        </w:rPr>
        <w:t>забалансовые</w:t>
      </w:r>
      <w:proofErr w:type="spellEnd"/>
      <w:r w:rsidRPr="001849C9">
        <w:rPr>
          <w:rFonts w:hAnsi="Times New Roman" w:cs="Times New Roman"/>
          <w:color w:val="000000"/>
          <w:sz w:val="24"/>
          <w:szCs w:val="24"/>
          <w:lang w:val="ru-RU"/>
        </w:rPr>
        <w:t xml:space="preserve">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3C20A9" w:rsidRDefault="003C20A9">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w:t>
      </w:r>
      <w:proofErr w:type="spellStart"/>
      <w:r w:rsidRPr="001849C9">
        <w:rPr>
          <w:rFonts w:hAnsi="Times New Roman" w:cs="Times New Roman"/>
          <w:color w:val="000000"/>
          <w:sz w:val="24"/>
          <w:szCs w:val="24"/>
          <w:lang w:val="ru-RU"/>
        </w:rPr>
        <w:t>санитайзеры</w:t>
      </w:r>
      <w:proofErr w:type="spell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диспенсеры</w:t>
      </w:r>
      <w:proofErr w:type="spellEnd"/>
      <w:r w:rsidRPr="001849C9">
        <w:rPr>
          <w:rFonts w:hAnsi="Times New Roman" w:cs="Times New Roman"/>
          <w:color w:val="000000"/>
          <w:sz w:val="24"/>
          <w:szCs w:val="24"/>
          <w:lang w:val="ru-RU"/>
        </w:rPr>
        <w:t xml:space="preserve">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Default="001849C9">
      <w:pPr>
        <w:numPr>
          <w:ilvl w:val="0"/>
          <w:numId w:val="1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1849C9">
        <w:rPr>
          <w:rFonts w:hAnsi="Times New Roman" w:cs="Times New Roman"/>
          <w:color w:val="000000"/>
          <w:sz w:val="24"/>
          <w:szCs w:val="24"/>
          <w:lang w:val="ru-RU"/>
        </w:rPr>
        <w:t>веб-камеры</w:t>
      </w:r>
      <w:proofErr w:type="spellEnd"/>
      <w:r w:rsidRPr="001849C9">
        <w:rPr>
          <w:rFonts w:hAnsi="Times New Roman" w:cs="Times New Roman"/>
          <w:color w:val="000000"/>
          <w:sz w:val="24"/>
          <w:szCs w:val="24"/>
          <w:lang w:val="ru-RU"/>
        </w:rPr>
        <w:t xml:space="preserve">, устройства захвата видео, внешние </w:t>
      </w:r>
      <w:proofErr w:type="spellStart"/>
      <w:r w:rsidRPr="001849C9">
        <w:rPr>
          <w:rFonts w:hAnsi="Times New Roman" w:cs="Times New Roman"/>
          <w:color w:val="000000"/>
          <w:sz w:val="24"/>
          <w:szCs w:val="24"/>
          <w:lang w:val="ru-RU"/>
        </w:rPr>
        <w:t>ТВ-тюнеры</w:t>
      </w:r>
      <w:proofErr w:type="spellEnd"/>
      <w:r w:rsidRPr="001849C9">
        <w:rPr>
          <w:rFonts w:hAnsi="Times New Roman" w:cs="Times New Roman"/>
          <w:color w:val="000000"/>
          <w:sz w:val="24"/>
          <w:szCs w:val="24"/>
          <w:lang w:val="ru-RU"/>
        </w:rPr>
        <w:t>, внешние накопители на жестких дисках;</w:t>
      </w:r>
      <w:proofErr w:type="gramEnd"/>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заменяемых (</w:t>
      </w:r>
      <w:proofErr w:type="spellStart"/>
      <w:r w:rsidRPr="001849C9">
        <w:rPr>
          <w:rFonts w:hAnsi="Times New Roman" w:cs="Times New Roman"/>
          <w:color w:val="000000"/>
          <w:sz w:val="24"/>
          <w:szCs w:val="24"/>
          <w:lang w:val="ru-RU"/>
        </w:rPr>
        <w:t>выбываемых</w:t>
      </w:r>
      <w:proofErr w:type="spellEnd"/>
      <w:r w:rsidRPr="001849C9">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w:t>
      </w:r>
      <w:proofErr w:type="spellStart"/>
      <w:r w:rsidRPr="001849C9">
        <w:rPr>
          <w:rFonts w:hAnsi="Times New Roman" w:cs="Times New Roman"/>
          <w:color w:val="000000"/>
          <w:sz w:val="24"/>
          <w:szCs w:val="24"/>
          <w:lang w:val="ru-RU"/>
        </w:rPr>
        <w:t>разукомплектации</w:t>
      </w:r>
      <w:proofErr w:type="spellEnd"/>
      <w:r w:rsidRPr="001849C9">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477A7A" w:rsidRDefault="001849C9">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477A7A" w:rsidRDefault="001849C9">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1849C9">
        <w:rPr>
          <w:rFonts w:hAnsi="Times New Roman" w:cs="Times New Roman"/>
          <w:color w:val="000000"/>
          <w:sz w:val="24"/>
          <w:szCs w:val="24"/>
          <w:lang w:val="ru-RU"/>
        </w:rPr>
        <w:t>одинаковыми</w:t>
      </w:r>
      <w:proofErr w:type="gramEnd"/>
      <w:r w:rsidRPr="001849C9">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запасов – партия.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B306BF" w:rsidRPr="001849C9" w:rsidRDefault="00B306BF">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proofErr w:type="spellStart"/>
      <w:r w:rsidRPr="00784156">
        <w:rPr>
          <w:rFonts w:hAnsi="Times New Roman" w:cs="Times New Roman"/>
          <w:color w:val="000000"/>
          <w:sz w:val="24"/>
          <w:szCs w:val="24"/>
        </w:rPr>
        <w:t>прайс-листами</w:t>
      </w:r>
      <w:proofErr w:type="spellEnd"/>
      <w:r w:rsidRPr="00784156">
        <w:rPr>
          <w:rFonts w:hAnsi="Times New Roman" w:cs="Times New Roman"/>
          <w:color w:val="000000"/>
          <w:sz w:val="24"/>
          <w:szCs w:val="24"/>
        </w:rPr>
        <w:t xml:space="preserve"> </w:t>
      </w:r>
      <w:proofErr w:type="spellStart"/>
      <w:r w:rsidRPr="00784156">
        <w:rPr>
          <w:rFonts w:hAnsi="Times New Roman" w:cs="Times New Roman"/>
          <w:color w:val="000000"/>
          <w:sz w:val="24"/>
          <w:szCs w:val="24"/>
        </w:rPr>
        <w:t>заводов-изготовителей</w:t>
      </w:r>
      <w:proofErr w:type="spellEnd"/>
      <w:r w:rsidRPr="00784156">
        <w:rPr>
          <w:rFonts w:hAnsi="Times New Roman" w:cs="Times New Roman"/>
          <w:color w:val="000000"/>
          <w:sz w:val="24"/>
          <w:szCs w:val="24"/>
        </w:rPr>
        <w:t>;</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5"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6"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t xml:space="preserve">Учреждение систематически осуществляет </w:t>
      </w:r>
      <w:proofErr w:type="gramStart"/>
      <w:r>
        <w:t>контроль за</w:t>
      </w:r>
      <w:proofErr w:type="gramEnd"/>
      <w:r>
        <w:t xml:space="preserve">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lastRenderedPageBreak/>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8150C9" w:rsidRDefault="008150C9">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855B31"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оплату труда и начисления на выплаты по оплате труда сотрудников учреждения, не принимающих непосредственного участия </w:t>
      </w:r>
      <w:proofErr w:type="gramStart"/>
      <w:r w:rsidRPr="001849C9">
        <w:rPr>
          <w:rFonts w:hAnsi="Times New Roman" w:cs="Times New Roman"/>
          <w:color w:val="000000"/>
          <w:sz w:val="24"/>
          <w:szCs w:val="24"/>
          <w:lang w:val="ru-RU"/>
        </w:rPr>
        <w:t>в</w:t>
      </w:r>
      <w:proofErr w:type="gramEnd"/>
      <w:r w:rsidRPr="001849C9">
        <w:rPr>
          <w:rFonts w:hAnsi="Times New Roman" w:cs="Times New Roman"/>
          <w:color w:val="000000"/>
          <w:sz w:val="24"/>
          <w:szCs w:val="24"/>
          <w:lang w:val="ru-RU"/>
        </w:rPr>
        <w:t xml:space="preserve"> </w:t>
      </w:r>
    </w:p>
    <w:p w:rsidR="00477A7A" w:rsidRPr="001849C9" w:rsidRDefault="001849C9">
      <w:pPr>
        <w:numPr>
          <w:ilvl w:val="0"/>
          <w:numId w:val="30"/>
        </w:numPr>
        <w:ind w:left="780" w:right="180"/>
        <w:contextualSpacing/>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lastRenderedPageBreak/>
        <w:t>оказании</w:t>
      </w:r>
      <w:proofErr w:type="gramEnd"/>
      <w:r w:rsidRPr="001849C9">
        <w:rPr>
          <w:rFonts w:hAnsi="Times New Roman" w:cs="Times New Roman"/>
          <w:color w:val="000000"/>
          <w:sz w:val="24"/>
          <w:szCs w:val="24"/>
          <w:lang w:val="ru-RU"/>
        </w:rPr>
        <w:t xml:space="preserve">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w:t>
      </w:r>
      <w:proofErr w:type="gramStart"/>
      <w:r w:rsidRPr="001849C9">
        <w:rPr>
          <w:rFonts w:hAnsi="Times New Roman" w:cs="Times New Roman"/>
          <w:color w:val="000000"/>
          <w:sz w:val="24"/>
          <w:szCs w:val="24"/>
          <w:lang w:val="ru-RU"/>
        </w:rPr>
        <w:t>дств ст</w:t>
      </w:r>
      <w:proofErr w:type="gramEnd"/>
      <w:r w:rsidRPr="001849C9">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477A7A" w:rsidRDefault="001849C9">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в части </w:t>
      </w:r>
      <w:proofErr w:type="spellStart"/>
      <w:r w:rsidRPr="001849C9">
        <w:rPr>
          <w:rFonts w:hAnsi="Times New Roman" w:cs="Times New Roman"/>
          <w:color w:val="000000"/>
          <w:sz w:val="24"/>
          <w:szCs w:val="24"/>
          <w:lang w:val="ru-RU"/>
        </w:rPr>
        <w:t>нераспределяемых</w:t>
      </w:r>
      <w:proofErr w:type="spellEnd"/>
      <w:r w:rsidRPr="001849C9">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w:t>
      </w:r>
      <w:proofErr w:type="spellStart"/>
      <w:r w:rsidRPr="001849C9">
        <w:rPr>
          <w:rFonts w:hAnsi="Times New Roman" w:cs="Times New Roman"/>
          <w:color w:val="000000"/>
          <w:sz w:val="24"/>
          <w:szCs w:val="24"/>
          <w:lang w:val="ru-RU"/>
        </w:rPr>
        <w:t>нераспределяемые</w:t>
      </w:r>
      <w:proofErr w:type="spellEnd"/>
      <w:r w:rsidRPr="001849C9">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отчет производится путем:</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перечисления на </w:t>
      </w:r>
      <w:proofErr w:type="spellStart"/>
      <w:r w:rsidRPr="001849C9">
        <w:rPr>
          <w:rFonts w:hAnsi="Times New Roman" w:cs="Times New Roman"/>
          <w:color w:val="000000"/>
          <w:sz w:val="24"/>
          <w:szCs w:val="24"/>
          <w:lang w:val="ru-RU"/>
        </w:rPr>
        <w:t>зарплатную</w:t>
      </w:r>
      <w:proofErr w:type="spellEnd"/>
      <w:r w:rsidRPr="001849C9">
        <w:rPr>
          <w:rFonts w:hAnsi="Times New Roman" w:cs="Times New Roman"/>
          <w:color w:val="000000"/>
          <w:sz w:val="24"/>
          <w:szCs w:val="24"/>
          <w:lang w:val="ru-RU"/>
        </w:rPr>
        <w:t xml:space="preserve">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784156" w:rsidRDefault="00784156">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0F2FE5" w:rsidRDefault="000F2FE5">
      <w:pPr>
        <w:rPr>
          <w:rFonts w:hAnsi="Times New Roman" w:cs="Times New Roman"/>
          <w:b/>
          <w:bCs/>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Х.303.35.000);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lastRenderedPageBreak/>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 </w:t>
      </w:r>
      <w:proofErr w:type="spellStart"/>
      <w:r w:rsidRPr="001849C9">
        <w:rPr>
          <w:rFonts w:hAnsi="Times New Roman" w:cs="Times New Roman"/>
          <w:color w:val="000000"/>
          <w:sz w:val="24"/>
          <w:szCs w:val="24"/>
          <w:lang w:val="ru-RU"/>
        </w:rPr>
        <w:t>забалансового</w:t>
      </w:r>
      <w:proofErr w:type="spellEnd"/>
      <w:r w:rsidRPr="001849C9">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истечении пяти лет отражения задолженности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11.4. </w:t>
      </w:r>
      <w:proofErr w:type="gramStart"/>
      <w:r w:rsidRPr="001849C9">
        <w:rPr>
          <w:rFonts w:hAnsi="Times New Roman" w:cs="Times New Roman"/>
          <w:color w:val="000000"/>
          <w:sz w:val="24"/>
          <w:szCs w:val="24"/>
          <w:lang w:val="ru-RU"/>
        </w:rPr>
        <w:t>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roofErr w:type="gramEnd"/>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t>11.7. В учреждении создаются:</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резерв по искам, претензионным требованиям – в </w:t>
      </w:r>
      <w:proofErr w:type="gramStart"/>
      <w:r w:rsidRPr="001849C9">
        <w:rPr>
          <w:rFonts w:hAnsi="Times New Roman" w:cs="Times New Roman"/>
          <w:color w:val="000000"/>
          <w:sz w:val="24"/>
          <w:szCs w:val="24"/>
          <w:lang w:val="ru-RU"/>
        </w:rPr>
        <w:t>случае</w:t>
      </w:r>
      <w:proofErr w:type="gramEnd"/>
      <w:r>
        <w:rPr>
          <w:rFonts w:hAnsi="Times New Roman" w:cs="Times New Roman"/>
          <w:color w:val="000000"/>
          <w:sz w:val="24"/>
          <w:szCs w:val="24"/>
        </w:rPr>
        <w:t> </w:t>
      </w:r>
      <w:r w:rsidRPr="001849C9">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w:t>
      </w:r>
      <w:r w:rsidRPr="001849C9">
        <w:rPr>
          <w:rFonts w:hAnsi="Times New Roman" w:cs="Times New Roman"/>
          <w:color w:val="000000"/>
          <w:sz w:val="24"/>
          <w:szCs w:val="24"/>
          <w:lang w:val="ru-RU"/>
        </w:rPr>
        <w:lastRenderedPageBreak/>
        <w:t>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1849C9">
        <w:rPr>
          <w:rFonts w:hAnsi="Times New Roman" w:cs="Times New Roman"/>
          <w:color w:val="000000"/>
          <w:sz w:val="24"/>
          <w:szCs w:val="24"/>
          <w:lang w:val="ru-RU"/>
        </w:rPr>
        <w:t>красное</w:t>
      </w:r>
      <w:proofErr w:type="gram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сторно</w:t>
      </w:r>
      <w:proofErr w:type="spellEnd"/>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1849C9">
        <w:rPr>
          <w:rFonts w:hAnsi="Times New Roman" w:cs="Times New Roman"/>
          <w:color w:val="000000"/>
          <w:sz w:val="24"/>
          <w:szCs w:val="24"/>
          <w:lang w:val="ru-RU"/>
        </w:rPr>
        <w:t>реализации</w:t>
      </w:r>
      <w:proofErr w:type="gramEnd"/>
      <w:r w:rsidRPr="001849C9">
        <w:rPr>
          <w:rFonts w:hAnsi="Times New Roman" w:cs="Times New Roman"/>
          <w:color w:val="000000"/>
          <w:sz w:val="24"/>
          <w:szCs w:val="24"/>
          <w:lang w:val="ru-RU"/>
        </w:rPr>
        <w:t xml:space="preserve">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477A7A">
      <w:pPr>
        <w:rPr>
          <w:rFonts w:hAnsi="Times New Roman" w:cs="Times New Roman"/>
          <w:color w:val="000000"/>
          <w:sz w:val="24"/>
          <w:szCs w:val="24"/>
          <w:lang w:val="ru-RU"/>
        </w:rPr>
      </w:pPr>
    </w:p>
    <w:p w:rsidR="002B00C0" w:rsidRDefault="002B00C0">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0F2FE5" w:rsidRDefault="000F2FE5">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числящихся на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2. Состав комиссии для проведения внезапной ревизии кассы приведен </w:t>
      </w:r>
      <w:r w:rsidRPr="002B00C0">
        <w:rPr>
          <w:rFonts w:hAnsi="Times New Roman" w:cs="Times New Roman"/>
          <w:b/>
          <w:color w:val="000000"/>
          <w:sz w:val="24"/>
          <w:szCs w:val="24"/>
          <w:lang w:val="ru-RU"/>
        </w:rPr>
        <w:t>в приложении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477A7A" w:rsidRDefault="001849C9">
      <w:pPr>
        <w:numPr>
          <w:ilvl w:val="0"/>
          <w:numId w:val="44"/>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 до 10-го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proofErr w:type="gramStart"/>
      <w:r w:rsidRPr="001849C9">
        <w:rPr>
          <w:rFonts w:hAnsi="Times New Roman" w:cs="Times New Roman"/>
          <w:color w:val="000000"/>
          <w:sz w:val="24"/>
          <w:szCs w:val="24"/>
          <w:lang w:val="ru-RU"/>
        </w:rPr>
        <w:t>годовой</w:t>
      </w:r>
      <w:proofErr w:type="gramEnd"/>
      <w:r w:rsidRPr="001849C9">
        <w:rPr>
          <w:rFonts w:hAnsi="Times New Roman" w:cs="Times New Roman"/>
          <w:color w:val="000000"/>
          <w:sz w:val="24"/>
          <w:szCs w:val="24"/>
          <w:lang w:val="ru-RU"/>
        </w:rPr>
        <w:t xml:space="preserve"> – до </w:t>
      </w:r>
      <w:r w:rsidR="002B00C0">
        <w:rPr>
          <w:rFonts w:hAnsi="Times New Roman" w:cs="Times New Roman"/>
          <w:color w:val="000000"/>
          <w:sz w:val="24"/>
          <w:szCs w:val="24"/>
          <w:lang w:val="ru-RU"/>
        </w:rPr>
        <w:t>20</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784156"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p>
    <w:p w:rsidR="00784156" w:rsidRDefault="00784156"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Default="00784156"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sidR="00246F58">
        <w:rPr>
          <w:rFonts w:hAnsi="Times New Roman" w:cs="Times New Roman"/>
          <w:b/>
          <w:bCs/>
          <w:color w:val="000000"/>
          <w:sz w:val="24"/>
          <w:szCs w:val="24"/>
        </w:rPr>
        <w:t>IX</w:t>
      </w:r>
      <w:proofErr w:type="gramStart"/>
      <w:r w:rsidR="00246F58">
        <w:rPr>
          <w:rFonts w:hAnsi="Times New Roman" w:cs="Times New Roman"/>
          <w:b/>
          <w:bCs/>
          <w:color w:val="000000"/>
          <w:sz w:val="24"/>
          <w:szCs w:val="24"/>
          <w:lang w:val="ru-RU"/>
        </w:rPr>
        <w:t>.</w:t>
      </w:r>
      <w:r w:rsidR="00246F58">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w:t>
      </w:r>
      <w:proofErr w:type="gramEnd"/>
      <w:r w:rsidR="00AF0D47" w:rsidRPr="00AF0D47">
        <w:rPr>
          <w:rFonts w:ascii="Times New Roman" w:eastAsia="Times New Roman" w:hAnsi="Times New Roman" w:cs="Times New Roman"/>
          <w:b/>
          <w:sz w:val="28"/>
          <w:szCs w:val="28"/>
          <w:lang w:val="ru-RU" w:eastAsia="ru-RU"/>
        </w:rPr>
        <w:t xml:space="preserve"> на </w:t>
      </w:r>
      <w:proofErr w:type="spellStart"/>
      <w:r w:rsidR="00AF0D47" w:rsidRPr="00AF0D47">
        <w:rPr>
          <w:rFonts w:ascii="Times New Roman" w:eastAsia="Times New Roman" w:hAnsi="Times New Roman" w:cs="Times New Roman"/>
          <w:b/>
          <w:sz w:val="28"/>
          <w:szCs w:val="28"/>
          <w:lang w:val="ru-RU" w:eastAsia="ru-RU"/>
        </w:rPr>
        <w:t>забалансовых</w:t>
      </w:r>
      <w:proofErr w:type="spellEnd"/>
      <w:r w:rsidR="00AF0D47" w:rsidRPr="00AF0D47">
        <w:rPr>
          <w:rFonts w:ascii="Times New Roman" w:eastAsia="Times New Roman" w:hAnsi="Times New Roman" w:cs="Times New Roman"/>
          <w:b/>
          <w:sz w:val="28"/>
          <w:szCs w:val="28"/>
          <w:lang w:val="ru-RU" w:eastAsia="ru-RU"/>
        </w:rPr>
        <w:t xml:space="preserve"> счетах</w:t>
      </w:r>
    </w:p>
    <w:p w:rsidR="000F2FE5" w:rsidRPr="00AF0D47" w:rsidRDefault="000F2FE5"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gramStart"/>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roofErr w:type="gramEnd"/>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gramStart"/>
      <w:r w:rsidRPr="00AF0D47">
        <w:rPr>
          <w:rFonts w:ascii="Times New Roman" w:eastAsia="Times New Roman" w:hAnsi="Times New Roman" w:cs="Times New Roman"/>
          <w:sz w:val="24"/>
          <w:szCs w:val="24"/>
          <w:lang w:val="ru-RU" w:eastAsia="ru-RU"/>
        </w:rPr>
        <w:t>установленные</w:t>
      </w:r>
      <w:proofErr w:type="gramEnd"/>
      <w:r w:rsidRPr="00AF0D47">
        <w:rPr>
          <w:rFonts w:ascii="Times New Roman" w:eastAsia="Times New Roman" w:hAnsi="Times New Roman" w:cs="Times New Roman"/>
          <w:sz w:val="24"/>
          <w:szCs w:val="24"/>
          <w:lang w:val="ru-RU" w:eastAsia="ru-RU"/>
        </w:rPr>
        <w:t xml:space="preserve">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xml:space="preserve">. В целях формирования бюджетной отчетности аналитический учет </w:t>
      </w:r>
      <w:proofErr w:type="gramStart"/>
      <w:r w:rsidR="00AF0D47" w:rsidRPr="00AF0D47">
        <w:rPr>
          <w:rFonts w:ascii="Times New Roman" w:eastAsia="Times New Roman" w:hAnsi="Times New Roman" w:cs="Times New Roman"/>
          <w:sz w:val="24"/>
          <w:szCs w:val="24"/>
          <w:lang w:val="ru-RU" w:eastAsia="ru-RU"/>
        </w:rPr>
        <w:t>на</w:t>
      </w:r>
      <w:proofErr w:type="gramEnd"/>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w:t>
      </w:r>
      <w:proofErr w:type="gramStart"/>
      <w:r w:rsidRPr="00AF0D47">
        <w:rPr>
          <w:rFonts w:ascii="Times New Roman" w:eastAsia="Times New Roman" w:hAnsi="Times New Roman" w:cs="Times New Roman"/>
          <w:sz w:val="24"/>
          <w:szCs w:val="24"/>
          <w:lang w:val="ru-RU" w:eastAsia="ru-RU"/>
        </w:rPr>
        <w:t>счетах</w:t>
      </w:r>
      <w:proofErr w:type="gramEnd"/>
      <w:r w:rsidRPr="00AF0D47">
        <w:rPr>
          <w:rFonts w:ascii="Times New Roman" w:eastAsia="Times New Roman" w:hAnsi="Times New Roman" w:cs="Times New Roman"/>
          <w:sz w:val="24"/>
          <w:szCs w:val="24"/>
          <w:lang w:val="ru-RU" w:eastAsia="ru-RU"/>
        </w:rPr>
        <w:t xml:space="preserve">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w:t>
      </w:r>
      <w:proofErr w:type="gramStart"/>
      <w:r>
        <w:rPr>
          <w:rFonts w:ascii="Times New Roman" w:eastAsia="Times New Roman" w:hAnsi="Times New Roman" w:cs="Times New Roman"/>
          <w:sz w:val="24"/>
          <w:szCs w:val="24"/>
          <w:lang w:val="ru-RU" w:eastAsia="ru-RU"/>
        </w:rPr>
        <w:t xml:space="preserve"> .</w:t>
      </w:r>
      <w:proofErr w:type="gramEnd"/>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w:t>
      </w:r>
      <w:proofErr w:type="gramStart"/>
      <w:r w:rsidRPr="00246F58">
        <w:rPr>
          <w:rFonts w:ascii="Times New Roman" w:eastAsia="Times New Roman" w:hAnsi="Times New Roman" w:cs="Times New Roman"/>
          <w:sz w:val="24"/>
          <w:szCs w:val="24"/>
          <w:lang w:val="ru-RU" w:eastAsia="ru-RU"/>
        </w:rPr>
        <w:t>в</w:t>
      </w:r>
      <w:proofErr w:type="gramEnd"/>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proofErr w:type="gramStart"/>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A848A0">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sidR="00A848A0">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roofErr w:type="gramEnd"/>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proofErr w:type="gramStart"/>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roofErr w:type="gramEnd"/>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AA7C1A" w:rsidRPr="00246F58" w:rsidRDefault="00AA7C1A" w:rsidP="00246F58">
      <w:pPr>
        <w:spacing w:before="0" w:beforeAutospacing="0" w:after="0" w:afterAutospacing="0"/>
        <w:rPr>
          <w:rFonts w:ascii="Times New Roman" w:eastAsia="Times New Roman" w:hAnsi="Times New Roman" w:cs="Times New Roman"/>
          <w:sz w:val="24"/>
          <w:szCs w:val="24"/>
          <w:lang w:val="ru-RU" w:eastAsia="ru-RU"/>
        </w:rPr>
      </w:pP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переданное в безвозмездное пользование" соответственно и определяется исходя </w:t>
      </w:r>
      <w:proofErr w:type="gramStart"/>
      <w:r w:rsidRPr="00246F58">
        <w:rPr>
          <w:rFonts w:ascii="Times New Roman" w:eastAsia="Times New Roman" w:hAnsi="Times New Roman" w:cs="Times New Roman"/>
          <w:sz w:val="24"/>
          <w:szCs w:val="24"/>
          <w:lang w:val="ru-RU" w:eastAsia="ru-RU"/>
        </w:rPr>
        <w:t>из</w:t>
      </w:r>
      <w:proofErr w:type="gramEnd"/>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00D42E33" w:rsidRPr="00D42E33">
        <w:rPr>
          <w:rFonts w:ascii="Times New Roman" w:eastAsia="Times New Roman" w:hAnsi="Times New Roman" w:cs="Times New Roman"/>
          <w:sz w:val="24"/>
          <w:szCs w:val="24"/>
          <w:lang w:val="ru-RU" w:eastAsia="ru-RU"/>
        </w:rPr>
        <w:t>забалансового</w:t>
      </w:r>
      <w:proofErr w:type="spellEnd"/>
      <w:r w:rsidR="00D42E33" w:rsidRPr="00D42E33">
        <w:rPr>
          <w:rFonts w:ascii="Times New Roman" w:eastAsia="Times New Roman" w:hAnsi="Times New Roman" w:cs="Times New Roman"/>
          <w:sz w:val="24"/>
          <w:szCs w:val="24"/>
          <w:lang w:val="ru-RU" w:eastAsia="ru-RU"/>
        </w:rPr>
        <w:t xml:space="preserve">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42E33" w:rsidRPr="00246F58" w:rsidRDefault="00D42E33" w:rsidP="00246F58">
      <w:pPr>
        <w:spacing w:before="0" w:beforeAutospacing="0" w:after="0" w:afterAutospacing="0"/>
        <w:rPr>
          <w:rFonts w:ascii="Times New Roman" w:eastAsia="Times New Roman" w:hAnsi="Times New Roman" w:cs="Times New Roman"/>
          <w:sz w:val="24"/>
          <w:szCs w:val="24"/>
          <w:lang w:val="ru-RU" w:eastAsia="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855B31"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477A7A" w:rsidRDefault="001849C9">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883"/>
        <w:gridCol w:w="1874"/>
        <w:gridCol w:w="3420"/>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0F2FE5" w:rsidP="000F2FE5">
            <w:pPr>
              <w:rPr>
                <w:lang w:val="ru-RU"/>
              </w:rPr>
            </w:pPr>
            <w:proofErr w:type="spellStart"/>
            <w:r>
              <w:rPr>
                <w:rFonts w:hAnsi="Times New Roman" w:cs="Times New Roman"/>
                <w:color w:val="000000"/>
                <w:sz w:val="24"/>
                <w:szCs w:val="24"/>
                <w:lang w:val="ru-RU"/>
              </w:rPr>
              <w:t>Е.В.Алексеенко</w:t>
            </w:r>
            <w:proofErr w:type="spellEnd"/>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F2FE5"/>
    <w:rsid w:val="00141402"/>
    <w:rsid w:val="001849C9"/>
    <w:rsid w:val="001B7CC3"/>
    <w:rsid w:val="00246F58"/>
    <w:rsid w:val="002B00C0"/>
    <w:rsid w:val="002D33B1"/>
    <w:rsid w:val="002D3591"/>
    <w:rsid w:val="003514A0"/>
    <w:rsid w:val="003B7275"/>
    <w:rsid w:val="003C20A9"/>
    <w:rsid w:val="00465B11"/>
    <w:rsid w:val="00477A7A"/>
    <w:rsid w:val="004F7E17"/>
    <w:rsid w:val="005A05CE"/>
    <w:rsid w:val="006067F7"/>
    <w:rsid w:val="00653AF6"/>
    <w:rsid w:val="006C45BA"/>
    <w:rsid w:val="00783596"/>
    <w:rsid w:val="00784156"/>
    <w:rsid w:val="007A3CE9"/>
    <w:rsid w:val="007B5024"/>
    <w:rsid w:val="007B56B9"/>
    <w:rsid w:val="00800173"/>
    <w:rsid w:val="008150C9"/>
    <w:rsid w:val="00855B31"/>
    <w:rsid w:val="008B0A48"/>
    <w:rsid w:val="00957EE7"/>
    <w:rsid w:val="00A848A0"/>
    <w:rsid w:val="00AA7C1A"/>
    <w:rsid w:val="00AC1FCB"/>
    <w:rsid w:val="00AF0D47"/>
    <w:rsid w:val="00B306BF"/>
    <w:rsid w:val="00B73A5A"/>
    <w:rsid w:val="00D42E33"/>
    <w:rsid w:val="00D658C6"/>
    <w:rsid w:val="00E438A1"/>
    <w:rsid w:val="00F01E19"/>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sudact.ru/law/prikaz-minfina-rossii-ot-30032015-n-52n/prilozhenie-n-4/kniga-ucheta-materialnykh-tsennostei-forma/"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Pages>
  <Words>8468</Words>
  <Characters>48273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7</cp:revision>
  <cp:lastPrinted>2021-03-26T05:59:00Z</cp:lastPrinted>
  <dcterms:created xsi:type="dcterms:W3CDTF">2011-11-02T04:15:00Z</dcterms:created>
  <dcterms:modified xsi:type="dcterms:W3CDTF">2021-03-26T06:02:00Z</dcterms:modified>
</cp:coreProperties>
</file>